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FCBB7">
      <w:pPr>
        <w:keepNext/>
        <w:keepLines/>
        <w:jc w:val="right"/>
      </w:pPr>
      <w:bookmarkStart w:id="3" w:name="_GoBack"/>
      <w:bookmarkEnd w:id="3"/>
      <w:bookmarkStart w:id="0" w:name="_Toc22784"/>
      <w:bookmarkStart w:id="1" w:name="_Toc16852"/>
      <w:bookmarkStart w:id="2" w:name="_Toc20984"/>
      <w:r>
        <w:rPr>
          <w:rFonts w:hint="eastAsia"/>
        </w:rPr>
        <w:t>附件表格编码：IRB-AF-SS-006-1.0</w:t>
      </w:r>
    </w:p>
    <w:bookmarkEnd w:id="0"/>
    <w:bookmarkEnd w:id="1"/>
    <w:bookmarkEnd w:id="2"/>
    <w:p w14:paraId="440F7218">
      <w:pPr>
        <w:pStyle w:val="2"/>
        <w:spacing w:before="100" w:after="100"/>
      </w:pPr>
      <w:r>
        <w:t>偏离方案报告</w:t>
      </w:r>
    </w:p>
    <w:tbl>
      <w:tblPr>
        <w:tblStyle w:val="5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52"/>
        <w:gridCol w:w="2074"/>
        <w:gridCol w:w="26"/>
        <w:gridCol w:w="1800"/>
        <w:gridCol w:w="720"/>
        <w:gridCol w:w="573"/>
        <w:gridCol w:w="1632"/>
      </w:tblGrid>
      <w:tr w14:paraId="47BF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1F98E613">
            <w:pPr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项目基本信息</w:t>
            </w:r>
          </w:p>
        </w:tc>
      </w:tr>
      <w:tr w14:paraId="7808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E4ED445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项目名称</w:t>
            </w:r>
          </w:p>
        </w:tc>
        <w:tc>
          <w:tcPr>
            <w:tcW w:w="6825" w:type="dxa"/>
            <w:gridSpan w:val="6"/>
          </w:tcPr>
          <w:p w14:paraId="01320C2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8EB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2C65A84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项目来源</w:t>
            </w:r>
          </w:p>
        </w:tc>
        <w:tc>
          <w:tcPr>
            <w:tcW w:w="6825" w:type="dxa"/>
            <w:gridSpan w:val="6"/>
          </w:tcPr>
          <w:p w14:paraId="0E8B217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4DE6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20B556BD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CRO公司</w:t>
            </w:r>
          </w:p>
        </w:tc>
        <w:tc>
          <w:tcPr>
            <w:tcW w:w="6825" w:type="dxa"/>
            <w:gridSpan w:val="6"/>
          </w:tcPr>
          <w:p w14:paraId="67CD669A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9B6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CF02910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7464058E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C360203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方案版本日期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7EF7F671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0BF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310" w:type="dxa"/>
            <w:gridSpan w:val="2"/>
            <w:vAlign w:val="center"/>
          </w:tcPr>
          <w:p w14:paraId="30BEB3F2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1F0A216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2AF779A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知情同意书版本日期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008C485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3FDF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72C01BA8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受理号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4EF2006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505E468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主要研究者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3E1828B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1183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6AB088F7">
            <w:pPr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偏离方案情况</w:t>
            </w:r>
          </w:p>
        </w:tc>
      </w:tr>
      <w:tr w14:paraId="2EA4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752A770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纳入不符合纳入标准的受试者</w:t>
            </w:r>
          </w:p>
        </w:tc>
        <w:tc>
          <w:tcPr>
            <w:tcW w:w="1632" w:type="dxa"/>
            <w:vAlign w:val="center"/>
          </w:tcPr>
          <w:p w14:paraId="79257FCA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1689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72532AFF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研究过程中，符合提前中止研究标准而没有让受试者退出</w:t>
            </w:r>
          </w:p>
        </w:tc>
        <w:tc>
          <w:tcPr>
            <w:tcW w:w="1632" w:type="dxa"/>
            <w:vAlign w:val="center"/>
          </w:tcPr>
          <w:p w14:paraId="7BA57BC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4BCA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3D200A3C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给予受试者错误的治疗或不正确的剂量</w:t>
            </w:r>
          </w:p>
        </w:tc>
        <w:tc>
          <w:tcPr>
            <w:tcW w:w="1632" w:type="dxa"/>
            <w:vAlign w:val="center"/>
          </w:tcPr>
          <w:p w14:paraId="11357B5D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1740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2B8EE85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给予受试者方案禁用的合并用药</w:t>
            </w:r>
          </w:p>
        </w:tc>
        <w:tc>
          <w:tcPr>
            <w:tcW w:w="1632" w:type="dxa"/>
            <w:vAlign w:val="center"/>
          </w:tcPr>
          <w:p w14:paraId="24742873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6EC4F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222B47C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任何偏离研究特定的程序或评估，从而对受试者的权益、安全和健康，或对研究结果产生显著影响的研究行为</w:t>
            </w:r>
          </w:p>
        </w:tc>
        <w:tc>
          <w:tcPr>
            <w:tcW w:w="1632" w:type="dxa"/>
            <w:vAlign w:val="center"/>
          </w:tcPr>
          <w:p w14:paraId="716C9CB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5FB6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1651715D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持续违背方案（不属于上述重大违背方案，但反复多次的违背方案）</w:t>
            </w:r>
          </w:p>
        </w:tc>
        <w:tc>
          <w:tcPr>
            <w:tcW w:w="1632" w:type="dxa"/>
            <w:vAlign w:val="center"/>
          </w:tcPr>
          <w:p w14:paraId="4D76C02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0E37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6B73194C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研究者不配合监察/稽查</w:t>
            </w:r>
          </w:p>
        </w:tc>
        <w:tc>
          <w:tcPr>
            <w:tcW w:w="1632" w:type="dxa"/>
            <w:vAlign w:val="center"/>
          </w:tcPr>
          <w:p w14:paraId="399E6FE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5A8C8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02E7BF3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对违规事件不予以纠正</w:t>
            </w:r>
          </w:p>
        </w:tc>
        <w:tc>
          <w:tcPr>
            <w:tcW w:w="1632" w:type="dxa"/>
            <w:vAlign w:val="center"/>
          </w:tcPr>
          <w:p w14:paraId="0F9ECF8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0D5F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5BA18AB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其他：</w:t>
            </w:r>
          </w:p>
        </w:tc>
        <w:tc>
          <w:tcPr>
            <w:tcW w:w="1632" w:type="dxa"/>
            <w:vAlign w:val="center"/>
          </w:tcPr>
          <w:p w14:paraId="5F52FA7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094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32499B8C">
            <w:pPr>
              <w:rPr>
                <w:rFonts w:hint="eastAsia" w:ascii="微软雅黑" w:hAnsi="微软雅黑" w:eastAsia="微软雅黑" w:cs="微软雅黑"/>
                <w:sz w:val="21"/>
                <w:szCs w:val="21"/>
                <w:highlight w:val="red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偏离方案事件描述：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red"/>
              </w:rPr>
              <w:t>（发生日期、受试者号、偏离情况描述等）</w:t>
            </w:r>
          </w:p>
          <w:p w14:paraId="4CE10BF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00D7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7E509C13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偏离方案的处理措施：</w:t>
            </w:r>
          </w:p>
          <w:p w14:paraId="758075D1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  <w:p w14:paraId="5C34C8F0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0A4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258" w:type="dxa"/>
            <w:vAlign w:val="center"/>
          </w:tcPr>
          <w:p w14:paraId="50674D8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研究者签字</w:t>
            </w:r>
          </w:p>
        </w:tc>
        <w:tc>
          <w:tcPr>
            <w:tcW w:w="2126" w:type="dxa"/>
            <w:gridSpan w:val="2"/>
            <w:vAlign w:val="center"/>
          </w:tcPr>
          <w:p w14:paraId="2615F1B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32E6996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日  期</w:t>
            </w:r>
          </w:p>
        </w:tc>
        <w:tc>
          <w:tcPr>
            <w:tcW w:w="2925" w:type="dxa"/>
            <w:gridSpan w:val="3"/>
            <w:vAlign w:val="center"/>
          </w:tcPr>
          <w:p w14:paraId="5397C66E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73FA7CA8"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记录说明：每一处要点的审查，在所持的意见</w:t>
      </w:r>
      <w:r>
        <w:rPr>
          <w:rFonts w:hint="eastAsia" w:ascii="微软雅黑" w:hAnsi="微软雅黑" w:eastAsia="微软雅黑" w:cs="微软雅黑"/>
          <w:sz w:val="21"/>
          <w:szCs w:val="21"/>
        </w:rPr>
        <w:sym w:font="Wingdings 2" w:char="00A3"/>
      </w:r>
      <w:r>
        <w:rPr>
          <w:rFonts w:hint="eastAsia" w:ascii="微软雅黑" w:hAnsi="微软雅黑" w:eastAsia="微软雅黑" w:cs="微软雅黑"/>
          <w:sz w:val="21"/>
          <w:szCs w:val="21"/>
        </w:rPr>
        <w:t>上打勾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E711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0CC33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0CC33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4"/>
      <w:pBdr>
        <w:bottom w:val="none" w:color="auto" w:sz="0" w:space="0"/>
      </w:pBdr>
      <w:rPr>
        <w:rFonts w:hint="eastAsia"/>
      </w:rPr>
    </w:pPr>
  </w:p>
  <w:p w14:paraId="116E8A01">
    <w:pPr>
      <w:pStyle w:val="4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偏离方案报告                                            </w:t>
    </w:r>
    <w:r>
      <w:rPr>
        <w:rFonts w:hint="eastAsia"/>
        <w:lang w:val="en-US" w:eastAsia="zh-CN"/>
      </w:rPr>
      <w:t xml:space="preserve">        </w:t>
    </w:r>
    <w:r>
      <w:rPr>
        <w:rFonts w:hint="eastAsia" w:ascii="宋体" w:hAnsi="宋体" w:eastAsia="宋体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1929F4"/>
    <w:rsid w:val="004D337C"/>
    <w:rsid w:val="008C1FD9"/>
    <w:rsid w:val="00B62B25"/>
    <w:rsid w:val="00B83246"/>
    <w:rsid w:val="00DF5CB0"/>
    <w:rsid w:val="00EE0EF2"/>
    <w:rsid w:val="26544206"/>
    <w:rsid w:val="2F587770"/>
    <w:rsid w:val="3BE32279"/>
    <w:rsid w:val="3C3C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 w:cs="Times New Roman"/>
      <w:b/>
      <w:kern w:val="44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371</Characters>
  <Lines>3</Lines>
  <Paragraphs>1</Paragraphs>
  <TotalTime>12</TotalTime>
  <ScaleCrop>false</ScaleCrop>
  <LinksUpToDate>false</LinksUpToDate>
  <CharactersWithSpaces>373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2025-07-02T03:22:10Z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4CE5DAF8464044F3816350555463A238_12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