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EB775">
      <w:pPr>
        <w:ind w:firstLine="5040" w:firstLineChars="2400"/>
        <w:rPr>
          <w:rFonts w:hint="eastAsia"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07</w:t>
      </w:r>
      <w:r>
        <w:rPr>
          <w:rFonts w:hint="eastAsia" w:cs="Times New Roman"/>
        </w:rPr>
        <w:t>-1.0</w:t>
      </w:r>
    </w:p>
    <w:p w14:paraId="44C070E8">
      <w:pPr>
        <w:ind w:firstLine="5040" w:firstLineChars="2400"/>
        <w:rPr>
          <w:rFonts w:hint="eastAsia" w:cs="Times New Roman"/>
        </w:rPr>
      </w:pPr>
    </w:p>
    <w:p w14:paraId="26155B6D">
      <w:pPr>
        <w:spacing w:after="156" w:afterLines="50" w:line="360" w:lineRule="auto"/>
        <w:ind w:left="321" w:hanging="321" w:hangingChars="10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终止或者暂停研究审查申请表</w:t>
      </w:r>
      <w:bookmarkStart w:id="1" w:name="_GoBack"/>
      <w:bookmarkEnd w:id="1"/>
    </w:p>
    <w:tbl>
      <w:tblPr>
        <w:tblStyle w:val="5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6"/>
        <w:gridCol w:w="2114"/>
        <w:gridCol w:w="32"/>
        <w:gridCol w:w="2147"/>
        <w:gridCol w:w="2147"/>
      </w:tblGrid>
      <w:tr w14:paraId="7840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1C61287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Theme="minorEastAsia" w:hAnsiTheme="minorEastAsia"/>
                <w:b/>
              </w:rPr>
              <w:t>项目名称</w:t>
            </w:r>
          </w:p>
        </w:tc>
        <w:tc>
          <w:tcPr>
            <w:tcW w:w="6440" w:type="dxa"/>
            <w:gridSpan w:val="4"/>
          </w:tcPr>
          <w:p w14:paraId="565AE640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1055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4CD3286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申办者</w:t>
            </w:r>
          </w:p>
        </w:tc>
        <w:tc>
          <w:tcPr>
            <w:tcW w:w="6440" w:type="dxa"/>
            <w:gridSpan w:val="4"/>
          </w:tcPr>
          <w:p w14:paraId="5BC0D918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0E9C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146" w:type="dxa"/>
          </w:tcPr>
          <w:p w14:paraId="33C39DD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研究方案版本号</w:t>
            </w:r>
          </w:p>
        </w:tc>
        <w:tc>
          <w:tcPr>
            <w:tcW w:w="2146" w:type="dxa"/>
            <w:gridSpan w:val="2"/>
          </w:tcPr>
          <w:p w14:paraId="728A4253">
            <w:pPr>
              <w:spacing w:line="360" w:lineRule="auto"/>
              <w:rPr>
                <w:rFonts w:hint="eastAsia" w:ascii="宋体" w:hAnsi="宋体"/>
              </w:rPr>
            </w:pPr>
          </w:p>
        </w:tc>
        <w:tc>
          <w:tcPr>
            <w:tcW w:w="2147" w:type="dxa"/>
          </w:tcPr>
          <w:p w14:paraId="3D1F5D7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研究方案版本日期</w:t>
            </w:r>
          </w:p>
        </w:tc>
        <w:tc>
          <w:tcPr>
            <w:tcW w:w="2147" w:type="dxa"/>
          </w:tcPr>
          <w:p w14:paraId="77518D0C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69A4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46" w:type="dxa"/>
          </w:tcPr>
          <w:p w14:paraId="36E2EE8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知情同意书版本号</w:t>
            </w:r>
          </w:p>
        </w:tc>
        <w:tc>
          <w:tcPr>
            <w:tcW w:w="2146" w:type="dxa"/>
            <w:gridSpan w:val="2"/>
          </w:tcPr>
          <w:p w14:paraId="3AE61C78">
            <w:pPr>
              <w:spacing w:line="360" w:lineRule="auto"/>
              <w:rPr>
                <w:rFonts w:hint="eastAsia" w:ascii="宋体" w:hAnsi="宋体"/>
              </w:rPr>
            </w:pPr>
          </w:p>
        </w:tc>
        <w:tc>
          <w:tcPr>
            <w:tcW w:w="2147" w:type="dxa"/>
          </w:tcPr>
          <w:p w14:paraId="28DEF67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知情同意书版本日期</w:t>
            </w:r>
          </w:p>
        </w:tc>
        <w:tc>
          <w:tcPr>
            <w:tcW w:w="2147" w:type="dxa"/>
          </w:tcPr>
          <w:p w14:paraId="0CA323E2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353B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146" w:type="dxa"/>
          </w:tcPr>
          <w:p w14:paraId="5C9E3D2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伦理审查意见号</w:t>
            </w:r>
          </w:p>
        </w:tc>
        <w:tc>
          <w:tcPr>
            <w:tcW w:w="2146" w:type="dxa"/>
            <w:gridSpan w:val="2"/>
          </w:tcPr>
          <w:p w14:paraId="3D9D4F72">
            <w:pPr>
              <w:spacing w:line="360" w:lineRule="auto"/>
              <w:rPr>
                <w:rFonts w:hint="eastAsia" w:ascii="宋体" w:hAnsi="宋体"/>
              </w:rPr>
            </w:pPr>
          </w:p>
        </w:tc>
        <w:tc>
          <w:tcPr>
            <w:tcW w:w="2147" w:type="dxa"/>
          </w:tcPr>
          <w:p w14:paraId="56FDA46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专业组及主要研究者</w:t>
            </w:r>
          </w:p>
        </w:tc>
        <w:tc>
          <w:tcPr>
            <w:tcW w:w="2147" w:type="dxa"/>
          </w:tcPr>
          <w:p w14:paraId="5B99C589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478B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3" w:hRule="atLeast"/>
        </w:trPr>
        <w:tc>
          <w:tcPr>
            <w:tcW w:w="8586" w:type="dxa"/>
            <w:gridSpan w:val="5"/>
          </w:tcPr>
          <w:p w14:paraId="571C44C0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一、一般信息</w:t>
            </w:r>
          </w:p>
          <w:p w14:paraId="72865276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·研究开始日期：</w:t>
            </w:r>
          </w:p>
          <w:p w14:paraId="251A0672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·研究暂停/终止日期</w:t>
            </w:r>
          </w:p>
          <w:p w14:paraId="72128137">
            <w:pPr>
              <w:spacing w:line="360" w:lineRule="auto"/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申办者提出：</w:t>
            </w: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暂停研究，</w:t>
            </w:r>
            <w:r>
              <w:rPr>
                <w:rFonts w:ascii="微软雅黑" w:hAnsi="微软雅黑" w:eastAsia="微软雅黑" w:cs="微软雅黑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5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21"/>
                <w:szCs w:val="21"/>
              </w:rPr>
              <w:t>终止研究</w:t>
            </w:r>
          </w:p>
          <w:p w14:paraId="26167B78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研究者提出：</w:t>
            </w:r>
            <w:r>
              <w:rPr>
                <w:rFonts w:ascii="微软雅黑" w:hAnsi="微软雅黑" w:eastAsia="微软雅黑" w:cs="微软雅黑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6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暂停研究，</w:t>
            </w:r>
            <w:r>
              <w:rPr>
                <w:rFonts w:ascii="微软雅黑" w:hAnsi="微软雅黑" w:eastAsia="微软雅黑" w:cs="微软雅黑"/>
                <w:spacing w:val="-25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6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5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终止研究</w:t>
            </w:r>
          </w:p>
          <w:p w14:paraId="302D68D1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停止纳入新的受试者，在研的受试者继续完成研究干预和随访</w:t>
            </w:r>
          </w:p>
          <w:p w14:paraId="3B6AEA6E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停止研究相关的干预，研究仅是对受试者的跟踪随访</w:t>
            </w:r>
          </w:p>
          <w:p w14:paraId="45556B1C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ascii="微软雅黑" w:hAnsi="微软雅黑" w:eastAsia="微软雅黑" w:cs="微软雅黑"/>
                <w:spacing w:val="-19"/>
                <w:sz w:val="21"/>
                <w:szCs w:val="21"/>
              </w:rPr>
              <w:t xml:space="preserve">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ascii="Wingdings" w:hAnsi="Wingdings" w:eastAsia="Wingdings" w:cs="Wingdings"/>
                <w:spacing w:val="-92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</w:rPr>
              <w:t>（本中心）没有受试者入组，且未发现额外风险</w:t>
            </w:r>
          </w:p>
          <w:p w14:paraId="01DA94D2">
            <w:pPr>
              <w:spacing w:line="360" w:lineRule="auto"/>
              <w:rPr>
                <w:rFonts w:hint="eastAsia" w:ascii="宋体" w:hAnsi="宋体"/>
              </w:rPr>
            </w:pPr>
          </w:p>
          <w:p w14:paraId="7E97EF6A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是否通知受试者终止或暂停研究的事项：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宋体" w:hAnsi="宋体"/>
              </w:rPr>
              <w:t xml:space="preserve"> 否，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宋体" w:hAnsi="宋体"/>
              </w:rPr>
              <w:t xml:space="preserve"> 是</w:t>
            </w:r>
          </w:p>
          <w:p w14:paraId="79E22474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通知的对象： 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宋体" w:hAnsi="宋体"/>
              </w:rPr>
              <w:t xml:space="preserve"> 已入组的全部受试者，</w:t>
            </w:r>
            <w:r>
              <w:rPr>
                <w:rFonts w:ascii="Wingdings" w:hAnsi="Wingdings" w:eastAsia="Wingdings" w:cs="Wingdings"/>
                <w:spacing w:val="-8"/>
                <w:sz w:val="21"/>
                <w:szCs w:val="21"/>
              </w:rPr>
              <w:t>o</w:t>
            </w:r>
            <w:r>
              <w:rPr>
                <w:rFonts w:hint="eastAsia" w:ascii="Wingdings" w:hAnsi="Wingdings" w:eastAsia="宋体" w:cs="Wingdings"/>
                <w:spacing w:val="-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</w:rPr>
              <w:t>仅在研的受试者</w:t>
            </w:r>
          </w:p>
          <w:p w14:paraId="7F8BCE74">
            <w:pPr>
              <w:spacing w:line="360" w:lineRule="auto"/>
              <w:rPr>
                <w:rFonts w:hint="eastAsia" w:ascii="宋体" w:hAnsi="宋体"/>
              </w:rPr>
            </w:pPr>
          </w:p>
        </w:tc>
      </w:tr>
      <w:tr w14:paraId="225EC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9" w:hRule="atLeast"/>
        </w:trPr>
        <w:tc>
          <w:tcPr>
            <w:tcW w:w="8586" w:type="dxa"/>
            <w:gridSpan w:val="5"/>
          </w:tcPr>
          <w:p w14:paraId="4C1A0261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二、受试者信息</w:t>
            </w:r>
          </w:p>
          <w:p w14:paraId="1CDA1955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·合同研究总例数：</w:t>
            </w:r>
          </w:p>
          <w:p w14:paraId="760AA067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</w:rPr>
              <w:t>筛选例数：</w:t>
            </w:r>
          </w:p>
          <w:p w14:paraId="10B8770C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·已入组例数：</w:t>
            </w:r>
          </w:p>
          <w:p w14:paraId="0FBBC2EE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·完成观察例数：</w:t>
            </w:r>
          </w:p>
          <w:p w14:paraId="3131E773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·提前退出例数：</w:t>
            </w:r>
          </w:p>
          <w:p w14:paraId="6288E916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·严重不良事件例数：</w:t>
            </w:r>
          </w:p>
          <w:p w14:paraId="3962E7AE">
            <w:pPr>
              <w:spacing w:line="360" w:lineRule="auto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·已报告的严重不良事件例数：</w:t>
            </w:r>
          </w:p>
        </w:tc>
      </w:tr>
      <w:tr w14:paraId="5E56C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</w:trPr>
        <w:tc>
          <w:tcPr>
            <w:tcW w:w="8586" w:type="dxa"/>
            <w:gridSpan w:val="5"/>
          </w:tcPr>
          <w:p w14:paraId="6E9B7EA7">
            <w:pPr>
              <w:spacing w:line="360" w:lineRule="auto"/>
              <w:ind w:left="211" w:hanging="211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b/>
              </w:rPr>
              <w:t>三、暂停/终止研究的原因</w:t>
            </w:r>
          </w:p>
        </w:tc>
      </w:tr>
      <w:tr w14:paraId="3C818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8586" w:type="dxa"/>
            <w:gridSpan w:val="5"/>
          </w:tcPr>
          <w:p w14:paraId="4223E296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四、有序终止研究的程序</w:t>
            </w:r>
          </w:p>
          <w:p w14:paraId="75B87B24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·是否要求召回已完成研究的受试者进行随访：口 是，口 否</w:t>
            </w:r>
          </w:p>
          <w:p w14:paraId="41590E70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·是否通知在研的受试者，研究已经提前终止：口 是，口 否→请说明：</w:t>
            </w:r>
          </w:p>
          <w:p w14:paraId="108BA9FE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·在研受试者是否提前终止研究：口 是，口 否→请说明：</w:t>
            </w:r>
          </w:p>
          <w:p w14:paraId="59053DCE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·提前终止研究受试者的后续医疗与随访安排：口 转入常规医疗，口 有针对性的安排随访检查与后续治疗→请说明：</w:t>
            </w:r>
          </w:p>
          <w:p w14:paraId="3920DB15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</w:p>
        </w:tc>
      </w:tr>
      <w:tr w14:paraId="1F7C3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86" w:type="dxa"/>
            <w:gridSpan w:val="5"/>
            <w:vAlign w:val="center"/>
          </w:tcPr>
          <w:p w14:paraId="50211054">
            <w:pPr>
              <w:spacing w:line="400" w:lineRule="exact"/>
              <w:jc w:val="center"/>
              <w:rPr>
                <w:rFonts w:hint="eastAsia" w:ascii="黑体" w:hAnsi="黑体" w:eastAsia="黑体" w:cs="宋体"/>
                <w:b/>
                <w:spacing w:val="2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spacing w:val="2"/>
                <w:szCs w:val="21"/>
              </w:rPr>
              <w:t>文件清单</w:t>
            </w:r>
          </w:p>
        </w:tc>
      </w:tr>
      <w:tr w14:paraId="3EAD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586" w:type="dxa"/>
            <w:gridSpan w:val="5"/>
            <w:vAlign w:val="center"/>
          </w:tcPr>
          <w:p w14:paraId="7BCF1F76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Cs w:val="21"/>
              </w:rPr>
              <w:t>*罗列递交文件目录，若试验已经开展须提交①违背方案列表②文件变更情况列表③严重不良事件列表。</w:t>
            </w:r>
          </w:p>
          <w:p w14:paraId="53F6EE66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432494B3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6D69621A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79F90A7C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3928CB92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128ADBB3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  <w:p w14:paraId="456494CB">
            <w:pPr>
              <w:spacing w:line="400" w:lineRule="exact"/>
              <w:jc w:val="left"/>
              <w:rPr>
                <w:rFonts w:hint="eastAsia" w:ascii="宋体" w:hAnsi="宋体" w:eastAsia="宋体" w:cs="宋体"/>
                <w:spacing w:val="2"/>
                <w:szCs w:val="21"/>
              </w:rPr>
            </w:pPr>
          </w:p>
        </w:tc>
      </w:tr>
      <w:tr w14:paraId="651EB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  <w:gridSpan w:val="2"/>
          </w:tcPr>
          <w:p w14:paraId="0F165403">
            <w:pPr>
              <w:spacing w:before="156" w:beforeLines="50" w:after="156" w:afterLines="50"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主要研究者签字:</w:t>
            </w:r>
          </w:p>
        </w:tc>
        <w:tc>
          <w:tcPr>
            <w:tcW w:w="4326" w:type="dxa"/>
            <w:gridSpan w:val="3"/>
          </w:tcPr>
          <w:p w14:paraId="66A1B80D">
            <w:pPr>
              <w:spacing w:before="156" w:beforeLines="50" w:after="156" w:afterLines="50"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日期:</w:t>
            </w:r>
          </w:p>
        </w:tc>
      </w:tr>
    </w:tbl>
    <w:p w14:paraId="6661FA0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1CFC6">
    <w:pPr>
      <w:pStyle w:val="3"/>
      <w:jc w:val="center"/>
    </w:pPr>
    <w:r>
      <w:rPr>
        <w:sz w:val="18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5359BF0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AABC9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4FCA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19CC0">
    <w:pPr>
      <w:pStyle w:val="4"/>
      <w:jc w:val="center"/>
      <w:rPr>
        <w:rFonts w:hint="eastAsia"/>
        <w:lang w:val="en-US" w:eastAsia="zh-CN"/>
      </w:rPr>
    </w:pPr>
    <w:bookmarkStart w:id="0" w:name="_Hlk180418817"/>
  </w:p>
  <w:p w14:paraId="6629045F">
    <w:pPr>
      <w:pStyle w:val="4"/>
      <w:jc w:val="center"/>
    </w:pPr>
    <w:r>
      <w:rPr>
        <w:rFonts w:ascii="宋体" w:hAnsi="宋体" w:eastAsia="宋体" w:cs="宋体"/>
        <w:spacing w:val="-6"/>
        <w:sz w:val="18"/>
        <w:szCs w:val="18"/>
      </w:rPr>
      <w:t>终止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/</w:t>
    </w:r>
    <w:r>
      <w:rPr>
        <w:rFonts w:ascii="宋体" w:hAnsi="宋体" w:eastAsia="宋体" w:cs="宋体"/>
        <w:spacing w:val="-6"/>
        <w:sz w:val="18"/>
        <w:szCs w:val="18"/>
      </w:rPr>
      <w:t>暂停研究报告</w:t>
    </w:r>
    <w:r>
      <w:rPr>
        <w:rFonts w:hint="eastAsia" w:ascii="宋体" w:hAnsi="宋体" w:eastAsia="宋体" w:cs="宋体"/>
        <w:spacing w:val="-6"/>
        <w:sz w:val="18"/>
        <w:szCs w:val="18"/>
        <w:lang w:val="en-US" w:eastAsia="zh-CN"/>
      </w:rPr>
      <w:t xml:space="preserve">                                                      </w:t>
    </w:r>
    <w:r>
      <w:rPr>
        <w:rFonts w:hint="eastAsia"/>
        <w:lang w:val="en-US" w:eastAsia="zh-CN"/>
      </w:rPr>
      <w:t>无锡市第九人民医院</w:t>
    </w:r>
    <w:r>
      <w:rPr>
        <w:rFonts w:hint="eastAsia"/>
      </w:rPr>
      <w:t>伦理委员会</w:t>
    </w:r>
    <w:bookmarkEnd w:id="0"/>
    <w:r>
      <w:rPr>
        <w:rFonts w:hint="eastAsia"/>
      </w:rPr>
      <w:t xml:space="preserve">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F0209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F03B2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6D3C9A"/>
    <w:rsid w:val="000A1E3B"/>
    <w:rsid w:val="000D476E"/>
    <w:rsid w:val="00101463"/>
    <w:rsid w:val="001652F0"/>
    <w:rsid w:val="001A4400"/>
    <w:rsid w:val="001D2595"/>
    <w:rsid w:val="004857AB"/>
    <w:rsid w:val="004D4451"/>
    <w:rsid w:val="005A7137"/>
    <w:rsid w:val="005F5946"/>
    <w:rsid w:val="00615A23"/>
    <w:rsid w:val="00640180"/>
    <w:rsid w:val="0069687E"/>
    <w:rsid w:val="006D3C9A"/>
    <w:rsid w:val="006F36D9"/>
    <w:rsid w:val="00725E0A"/>
    <w:rsid w:val="007A550A"/>
    <w:rsid w:val="007B56A5"/>
    <w:rsid w:val="008E13CB"/>
    <w:rsid w:val="00915E10"/>
    <w:rsid w:val="009672C9"/>
    <w:rsid w:val="00996809"/>
    <w:rsid w:val="009B06BC"/>
    <w:rsid w:val="00AB68ED"/>
    <w:rsid w:val="00B25F7A"/>
    <w:rsid w:val="00B46943"/>
    <w:rsid w:val="00D20929"/>
    <w:rsid w:val="00DB524C"/>
    <w:rsid w:val="00E101B8"/>
    <w:rsid w:val="00E761C0"/>
    <w:rsid w:val="00ED23D4"/>
    <w:rsid w:val="0AD0463A"/>
    <w:rsid w:val="1DAD177E"/>
    <w:rsid w:val="24EF141E"/>
    <w:rsid w:val="26DC5FCD"/>
    <w:rsid w:val="2D0A7190"/>
    <w:rsid w:val="2E552C39"/>
    <w:rsid w:val="3AAD68F3"/>
    <w:rsid w:val="50A57464"/>
    <w:rsid w:val="53975428"/>
    <w:rsid w:val="5BEE2F4C"/>
    <w:rsid w:val="68B91843"/>
    <w:rsid w:val="6DB80E05"/>
    <w:rsid w:val="780B4130"/>
    <w:rsid w:val="7B5D1D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semiHidden/>
    <w:qFormat/>
    <w:uiPriority w:val="99"/>
    <w:rPr>
      <w:sz w:val="18"/>
      <w:szCs w:val="18"/>
    </w:rPr>
  </w:style>
  <w:style w:type="paragraph" w:customStyle="1" w:styleId="9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378</Words>
  <Characters>378</Characters>
  <Lines>3</Lines>
  <Paragraphs>1</Paragraphs>
  <TotalTime>0</TotalTime>
  <ScaleCrop>false</ScaleCrop>
  <LinksUpToDate>false</LinksUpToDate>
  <CharactersWithSpaces>387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2015-03-20T15:13:00Z</dcterms:created>
  <dc:creator>User</dc:creator>
  <cp:lastModifiedBy>Jojo</cp:lastModifiedBy>
  <dcterms:modified xsi:type="dcterms:W3CDTF">2025-07-02T02:03:20Z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694EA8180F8E49E186B94E08402E9F5C_12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